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141" w:rsidRPr="00DF0141" w:rsidRDefault="00DF0141" w:rsidP="00DF0141">
      <w:pPr>
        <w:rPr>
          <w:rFonts w:ascii="Times New Roman" w:eastAsia="Times New Roman" w:hAnsi="Times New Roman" w:cs="Times New Roman"/>
          <w:szCs w:val="24"/>
          <w:lang w:eastAsia="it-IT"/>
        </w:rPr>
      </w:pPr>
      <w:r w:rsidRPr="00DF0141">
        <w:rPr>
          <w:rFonts w:ascii="Times New Roman" w:eastAsia="Times New Roman" w:hAnsi="Times New Roman" w:cs="Times New Roman"/>
          <w:szCs w:val="24"/>
          <w:lang w:eastAsia="it-IT"/>
        </w:rPr>
        <w:t>[lunedì 2 febbraio 2009]</w:t>
      </w:r>
    </w:p>
    <w:p w:rsidR="00DF0141" w:rsidRPr="00DF0141" w:rsidRDefault="00DF0141" w:rsidP="00DF0141">
      <w:pPr>
        <w:rPr>
          <w:rFonts w:ascii="Times New Roman" w:eastAsia="Times New Roman" w:hAnsi="Times New Roman" w:cs="Times New Roman"/>
          <w:szCs w:val="24"/>
          <w:lang w:eastAsia="it-IT"/>
        </w:rPr>
      </w:pPr>
      <w:r w:rsidRPr="00DF0141">
        <w:rPr>
          <w:rFonts w:ascii="Times New Roman" w:eastAsia="Times New Roman" w:hAnsi="Times New Roman" w:cs="Times New Roman"/>
          <w:szCs w:val="24"/>
          <w:lang w:eastAsia="it-IT"/>
        </w:rPr>
        <w:t>Finanza e Tributi - IL SOLE 24ORE</w:t>
      </w:r>
      <w:r>
        <w:rPr>
          <w:rFonts w:ascii="Times New Roman" w:eastAsia="Times New Roman" w:hAnsi="Times New Roman" w:cs="Times New Roman"/>
          <w:szCs w:val="24"/>
          <w:lang w:eastAsia="it-IT"/>
        </w:rPr>
        <w:t xml:space="preserve"> – Carmine Cossiga</w:t>
      </w:r>
    </w:p>
    <w:p w:rsidR="00DF0141" w:rsidRPr="00DF0141" w:rsidRDefault="00DF0141" w:rsidP="00DF0141">
      <w:pPr>
        <w:rPr>
          <w:rFonts w:ascii="Times New Roman" w:eastAsia="Times New Roman" w:hAnsi="Times New Roman" w:cs="Times New Roman"/>
          <w:szCs w:val="24"/>
          <w:lang w:eastAsia="it-IT"/>
        </w:rPr>
      </w:pPr>
    </w:p>
    <w:p w:rsidR="00DF0141" w:rsidRPr="00DF0141" w:rsidRDefault="00DF0141" w:rsidP="00DF0141">
      <w:pPr>
        <w:rPr>
          <w:rFonts w:ascii="Times New Roman" w:eastAsia="Times New Roman" w:hAnsi="Times New Roman" w:cs="Times New Roman"/>
          <w:szCs w:val="24"/>
          <w:lang w:eastAsia="it-IT"/>
        </w:rPr>
      </w:pPr>
      <w:r w:rsidRPr="00DF0141">
        <w:rPr>
          <w:rFonts w:ascii="Times New Roman" w:eastAsia="Times New Roman" w:hAnsi="Times New Roman" w:cs="Times New Roman"/>
          <w:szCs w:val="24"/>
          <w:lang w:eastAsia="it-IT"/>
        </w:rPr>
        <w:t>BILANCI 2009/Sanzioni - Le cinque penalità</w:t>
      </w:r>
    </w:p>
    <w:p w:rsidR="00DF0141" w:rsidRPr="00DF0141" w:rsidRDefault="00DF0141" w:rsidP="00DF0141">
      <w:pPr>
        <w:rPr>
          <w:rFonts w:ascii="Times New Roman" w:eastAsia="Times New Roman" w:hAnsi="Times New Roman" w:cs="Times New Roman"/>
          <w:b/>
          <w:szCs w:val="24"/>
          <w:lang w:eastAsia="it-IT"/>
        </w:rPr>
      </w:pPr>
      <w:r w:rsidRPr="00DF0141">
        <w:rPr>
          <w:rFonts w:ascii="Times New Roman" w:eastAsia="Times New Roman" w:hAnsi="Times New Roman" w:cs="Times New Roman"/>
          <w:b/>
          <w:szCs w:val="24"/>
          <w:lang w:eastAsia="it-IT"/>
        </w:rPr>
        <w:t>Il blocco delle assunzioni non concorre agli obiettivi</w:t>
      </w:r>
    </w:p>
    <w:p w:rsidR="00DF0141" w:rsidRPr="00DF0141" w:rsidRDefault="00DF0141" w:rsidP="00DF0141">
      <w:pPr>
        <w:rPr>
          <w:rFonts w:ascii="Times New Roman" w:eastAsia="Times New Roman" w:hAnsi="Times New Roman" w:cs="Times New Roman"/>
          <w:szCs w:val="24"/>
          <w:lang w:eastAsia="it-IT"/>
        </w:rPr>
      </w:pPr>
    </w:p>
    <w:p w:rsidR="00DF0141" w:rsidRPr="00DF0141" w:rsidRDefault="00DF0141" w:rsidP="00DF0141">
      <w:pPr>
        <w:rPr>
          <w:rFonts w:ascii="Times New Roman" w:eastAsia="Times New Roman" w:hAnsi="Times New Roman" w:cs="Times New Roman"/>
          <w:szCs w:val="24"/>
          <w:lang w:eastAsia="it-IT"/>
        </w:rPr>
      </w:pPr>
      <w:r w:rsidRPr="00DF0141">
        <w:rPr>
          <w:rFonts w:ascii="Times New Roman" w:eastAsia="Times New Roman" w:hAnsi="Times New Roman" w:cs="Times New Roman"/>
          <w:szCs w:val="24"/>
          <w:lang w:eastAsia="it-IT"/>
        </w:rPr>
        <w:t xml:space="preserve">Per chiarire il quadro applicativo del nuovo Patto, il legislatore ha riscritto le norme in vigore per il triennio 2009-2011 con la conseguente disapplicazione di tutte le regole precedenti. Sulla base di questa premessa, la Ragioneria annuncia la scomparsa del precedente regime sanzionatorio che imponeva l'adozione dei provvedimenti di rientro da parte degli enti che non avevano rispettato il Patto nel 2007 e prevedeva l'ulteriore sanzione dell'automatismo fiscale in caso di inerzia. L'attuale sistema sanzionatorio previsto dall'articolo 77-bis del Dl 112/2008 è costruito su queste misure: a) riduzione dei trasferimenti erariali, per un importo pari alla differenza, se positiva, tra il saldo programmatico e il saldo reale e, comunque,per un importo non superiore al 5% del totale; b) divieto (già dal 2008) di assumere personale a qualsiasi titolo, con qualsiasi tipologia contrattuale, compresi i rapporti di </w:t>
      </w:r>
      <w:proofErr w:type="spellStart"/>
      <w:r w:rsidRPr="00DF0141">
        <w:rPr>
          <w:rFonts w:ascii="Times New Roman" w:eastAsia="Times New Roman" w:hAnsi="Times New Roman" w:cs="Times New Roman"/>
          <w:szCs w:val="24"/>
          <w:lang w:eastAsia="it-IT"/>
        </w:rPr>
        <w:t>co.co.co.</w:t>
      </w:r>
      <w:proofErr w:type="spellEnd"/>
      <w:r w:rsidRPr="00DF0141">
        <w:rPr>
          <w:rFonts w:ascii="Times New Roman" w:eastAsia="Times New Roman" w:hAnsi="Times New Roman" w:cs="Times New Roman"/>
          <w:szCs w:val="24"/>
          <w:lang w:eastAsia="it-IT"/>
        </w:rPr>
        <w:t xml:space="preserve"> e somministrazione, anche nelle stabilizzazioni in atto. I contratti di servizio con soggetti privati non possono eludere questa disposizione; c) divieto di impegnare, nell'anno successivo a quello dell'inadempienza, spese correnti in misura superiore all'importo annuale minimo dei corrispondenti impegni nell'ultimo triennio; d) divieto di ricorrere all'indebitamento per gli investimenti nell'anno successivo a quello dell'inadempienza; e) riduzione, dal 12 gennaio 2009, del 30% delle indennità di funzione e dei gettoni di presenza rispetto all'ammontare risultante alla data del 30 giugno 2008.</w:t>
      </w:r>
    </w:p>
    <w:p w:rsidR="00DF0141" w:rsidRPr="00DF0141" w:rsidRDefault="00DF0141" w:rsidP="00DF0141">
      <w:pPr>
        <w:rPr>
          <w:rFonts w:ascii="Times New Roman" w:eastAsia="Times New Roman" w:hAnsi="Times New Roman" w:cs="Times New Roman"/>
          <w:szCs w:val="24"/>
          <w:lang w:eastAsia="it-IT"/>
        </w:rPr>
      </w:pPr>
    </w:p>
    <w:p w:rsidR="00B16CA7" w:rsidRPr="00DF0141" w:rsidRDefault="00DF0141" w:rsidP="00DF0141">
      <w:r w:rsidRPr="00DF0141">
        <w:rPr>
          <w:rFonts w:ascii="Times New Roman" w:eastAsia="Times New Roman" w:hAnsi="Times New Roman" w:cs="Times New Roman"/>
          <w:szCs w:val="24"/>
          <w:lang w:eastAsia="it-IT"/>
        </w:rPr>
        <w:t>I limiti sulle spese correnti e il divieto di assunzioni non concorrono al perseguimento degli obiettivi assegnati per l'anno in cui le misure vengono attuate. Anche la mancata trasmissione via web degli obiettivi programmatici o della certificazione entro il termine perentorio del 31 marzo costituisce inadempimento al Patto di stabilità interno, mentre la mancata comunicazione al sistema web della situazione di commissariamento determina per l'ente inadempiente l'assoggettamento alle regole del Patto. Il ritardo nella trasmissione della certificazione, sebbene attesti il rispetto del Patto, determina l'applicazione del divieto di assunzione. È previsto un esonero dalle sanzioni per il 2008 in caso di mancato rispetto del Patto relativamente ai pagamenti concernenti spese per investimenti effettuati nei limiti delle disponibilità di cassa a fronte di impegni regolarmente assunti entro il 6 agosto 2008 in favore degli enti locali che hanno rispettato il Patto nel triennio 2005-2007 e che hanno registrato nell'anno 2008 impegni per spesa corrente, al netto delle spese per adeguamenti contrattuali del personale dipendente, compreso il segretario comunale, per un ammontare non superiore a quello medio corrispondente del triennio 2005-2007. Agli stessi enti non si applicano le sanzioni per il triennio 2009-2011 in caso di mancato rispetto del Patto conseguente alle spese relative a nuovi interventi infrastrutturali, appositamente autorizzati con decreto del ministero dell'Economia, d'intesa con la Conferenza unificata.</w:t>
      </w:r>
    </w:p>
    <w:sectPr w:rsidR="00B16CA7" w:rsidRPr="00DF0141" w:rsidSect="00BC693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16CA7"/>
    <w:rsid w:val="00B16CA7"/>
    <w:rsid w:val="00B46D25"/>
    <w:rsid w:val="00BC6938"/>
    <w:rsid w:val="00DF0141"/>
    <w:rsid w:val="00FA6A8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Book Antiqua" w:eastAsiaTheme="minorHAnsi" w:hAnsi="Book Antiqua" w:cstheme="minorBidi"/>
        <w:sz w:val="24"/>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C693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6432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485</Words>
  <Characters>2765</Characters>
  <Application>Microsoft Office Word</Application>
  <DocSecurity>0</DocSecurity>
  <Lines>23</Lines>
  <Paragraphs>6</Paragraphs>
  <ScaleCrop>false</ScaleCrop>
  <Company>intel</Company>
  <LinksUpToDate>false</LinksUpToDate>
  <CharactersWithSpaces>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pentium</dc:creator>
  <cp:keywords/>
  <dc:description/>
  <cp:lastModifiedBy>pentium</cp:lastModifiedBy>
  <cp:revision>2</cp:revision>
  <dcterms:created xsi:type="dcterms:W3CDTF">2009-02-02T22:21:00Z</dcterms:created>
  <dcterms:modified xsi:type="dcterms:W3CDTF">2009-02-02T22:21:00Z</dcterms:modified>
</cp:coreProperties>
</file>